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bookmarkStart w:name="_GoBack" w:id="0"/>
      <w:bookmarkEnd w:id="0"/>
      <w:r w:rsidRPr="3C233114">
        <w:rPr>
          <w:rFonts w:eastAsiaTheme="minorEastAsia"/>
        </w:rPr>
        <w:t>TEXTBOOK AFFORDABILITY COMMITTEE</w:t>
      </w:r>
    </w:p>
    <w:p w:rsidR="3C233114" w:rsidP="3C233114" w:rsidRDefault="00C13B80" w14:paraId="1C9606AB" w14:textId="440F0A5A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Thursday, January 24,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3B90BB9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3C233114" w:rsidRDefault="3C233114" w14:paraId="633EF503" w14:textId="2075E283">
      <w:pPr>
        <w:spacing w:after="120" w:line="240" w:lineRule="auto"/>
        <w:rPr>
          <w:rFonts w:eastAsiaTheme="minorEastAsia"/>
        </w:rPr>
      </w:pPr>
      <w:r w:rsidRPr="004B5C5B">
        <w:rPr>
          <w:rFonts w:eastAsiaTheme="minorEastAsia"/>
          <w:b/>
          <w:bCs/>
        </w:rPr>
        <w:t>Members Attending</w:t>
      </w:r>
      <w:r w:rsidRPr="004B5C5B">
        <w:rPr>
          <w:rFonts w:eastAsiaTheme="minorEastAsia"/>
        </w:rPr>
        <w:t>:</w:t>
      </w:r>
      <w:r w:rsidRPr="004B5C5B" w:rsidR="004B5C5B">
        <w:rPr>
          <w:rFonts w:eastAsiaTheme="minorEastAsia"/>
        </w:rPr>
        <w:t xml:space="preserve"> </w:t>
      </w:r>
      <w:r w:rsidRPr="004B5C5B" w:rsidR="004B5C5B">
        <w:rPr>
          <w:color w:val="000000"/>
        </w:rPr>
        <w:t>Danielle Miller-Schuster, Crystal Nourie, James Palmer, Morgan Anderson, Do-Yong Park, Laurence Bender</w:t>
      </w:r>
    </w:p>
    <w:p w:rsidRPr="004B5C5B" w:rsidR="004B5C5B" w:rsidP="3C233114" w:rsidRDefault="004B5C5B" w14:paraId="42CE1D38" w14:textId="1D0C6D08">
      <w:pPr>
        <w:spacing w:after="120" w:line="240" w:lineRule="auto"/>
        <w:rPr>
          <w:rFonts w:eastAsiaTheme="minorEastAsia"/>
          <w:b/>
          <w:bCs/>
        </w:rPr>
      </w:pPr>
      <w:r w:rsidRPr="004B5C5B">
        <w:rPr>
          <w:rFonts w:eastAsiaTheme="minorEastAsia"/>
          <w:b/>
          <w:bCs/>
        </w:rPr>
        <w:t xml:space="preserve">Members Absent - </w:t>
      </w:r>
      <w:r w:rsidRPr="004B5C5B">
        <w:rPr>
          <w:color w:val="000000"/>
        </w:rPr>
        <w:t>Anne Shelley</w:t>
      </w:r>
    </w:p>
    <w:p w:rsidR="3C233114" w:rsidP="3C233114" w:rsidRDefault="3C233114" w14:paraId="56097A29" w14:textId="728CE1D5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Call to Order:</w:t>
      </w:r>
      <w:r w:rsidR="004B5C5B">
        <w:rPr>
          <w:rFonts w:eastAsiaTheme="minorEastAsia"/>
          <w:b/>
          <w:bCs/>
        </w:rPr>
        <w:t xml:space="preserve"> January 24, 2019 at 1:00 pm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="3C233114" w:rsidP="3C233114" w:rsidRDefault="0FA7C366" w14:paraId="3B9295FF" w14:textId="5D6D0CA7">
      <w:pPr>
        <w:pStyle w:val="ListParagraph"/>
        <w:numPr>
          <w:ilvl w:val="0"/>
          <w:numId w:val="5"/>
        </w:numPr>
        <w:spacing w:after="120" w:line="240" w:lineRule="auto"/>
      </w:pPr>
      <w:r w:rsidRPr="0FA7C366">
        <w:rPr>
          <w:rFonts w:eastAsiaTheme="minorEastAsia"/>
        </w:rPr>
        <w:t>Review and approve minutes from 11/30/2018 TAC meeting</w:t>
      </w:r>
      <w:r w:rsidR="004B5C5B">
        <w:rPr>
          <w:rFonts w:eastAsiaTheme="minorEastAsia"/>
        </w:rPr>
        <w:t xml:space="preserve"> – approved at 1:00 pm</w:t>
      </w:r>
    </w:p>
    <w:p w:rsidR="3C233114" w:rsidP="3C233114" w:rsidRDefault="0FA7C366" w14:paraId="2BE187EB" w14:textId="5C33F753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Information Items</w:t>
      </w:r>
      <w:r w:rsidRPr="0FA7C366">
        <w:rPr>
          <w:rFonts w:eastAsiaTheme="minorEastAsia"/>
        </w:rPr>
        <w:t>:</w:t>
      </w:r>
    </w:p>
    <w:p w:rsidR="3C233114" w:rsidP="0FA7C366" w:rsidRDefault="0FA7C366" w14:paraId="48C454B4" w14:textId="45F07926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Update on report at 12/4/18 Academic Senate Meeting</w:t>
      </w:r>
      <w:r w:rsidR="004B5C5B">
        <w:rPr>
          <w:rFonts w:eastAsiaTheme="minorEastAsia"/>
        </w:rPr>
        <w:t xml:space="preserve"> – postponed until next meeting when Anne will be present</w:t>
      </w:r>
    </w:p>
    <w:p w:rsidR="0FA7C366" w:rsidP="0FA7C366" w:rsidRDefault="0FA7C366" w14:paraId="3243E4A3" w14:textId="29998ECE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New Babson Report (“Freeing the Textbook”, 2018 ed.) is published</w:t>
      </w:r>
    </w:p>
    <w:p w:rsidR="0FA7C366" w:rsidP="0FA7C366" w:rsidRDefault="005A43D5" w14:paraId="22D1F939" w14:textId="556D5130">
      <w:pPr>
        <w:pStyle w:val="ListParagraph"/>
        <w:numPr>
          <w:ilvl w:val="1"/>
          <w:numId w:val="4"/>
        </w:numPr>
        <w:spacing w:after="120" w:line="240" w:lineRule="auto"/>
      </w:pPr>
      <w:hyperlink r:id="rId5">
        <w:r w:rsidRPr="0FA7C366" w:rsidR="0FA7C366">
          <w:rPr>
            <w:rStyle w:val="Hyperlink"/>
          </w:rPr>
          <w:t>https://www.onlinelearningsurvey.com/reports/freeingthetextbook2018.pdf</w:t>
        </w:r>
      </w:hyperlink>
      <w:r w:rsidRPr="0FA7C366" w:rsidR="0FA7C366">
        <w:t xml:space="preserve"> 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Pr="004B5C5B" w:rsidR="004B5C5B" w:rsidP="0FA7C366" w:rsidRDefault="0FA7C366" w14:paraId="66DAC3B8" w14:textId="77777777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Models of textbook affordability (Dr. Palmer)</w:t>
      </w:r>
      <w:r w:rsidR="004B5C5B">
        <w:rPr>
          <w:rFonts w:eastAsiaTheme="minorEastAsia"/>
        </w:rPr>
        <w:t xml:space="preserve"> – </w:t>
      </w:r>
    </w:p>
    <w:p w:rsidRPr="004B5C5B" w:rsidR="004B5C5B" w:rsidP="004B5C5B" w:rsidRDefault="004B5C5B" w14:paraId="36DA951A" w14:textId="214583AE">
      <w:pPr>
        <w:pStyle w:val="ListParagraph"/>
        <w:numPr>
          <w:ilvl w:val="1"/>
          <w:numId w:val="3"/>
        </w:numPr>
        <w:spacing w:after="120" w:line="240" w:lineRule="auto"/>
      </w:pPr>
      <w:r>
        <w:rPr>
          <w:rFonts w:eastAsiaTheme="minorEastAsia"/>
        </w:rPr>
        <w:t xml:space="preserve">The models brainstorm ideas for strategies that could be done to work with faculty members, to force the hand of </w:t>
      </w:r>
      <w:r>
        <w:rPr>
          <w:rFonts w:eastAsiaTheme="minorEastAsia"/>
        </w:rPr>
        <w:lastRenderedPageBreak/>
        <w:t>textbook publishers to lower prices (University of California is doing this), etc.</w:t>
      </w:r>
    </w:p>
    <w:p w:rsidRPr="004B5C5B" w:rsidR="0FA7C366" w:rsidP="004B5C5B" w:rsidRDefault="004B5C5B" w14:paraId="6EA19C81" w14:textId="476CE002">
      <w:pPr>
        <w:pStyle w:val="ListParagraph"/>
        <w:numPr>
          <w:ilvl w:val="2"/>
          <w:numId w:val="3"/>
        </w:numPr>
        <w:spacing w:after="120" w:line="240" w:lineRule="auto"/>
      </w:pPr>
      <w:r>
        <w:rPr>
          <w:rFonts w:eastAsiaTheme="minorEastAsia"/>
        </w:rPr>
        <w:t xml:space="preserve">Dr. Palmer is taking these strategies and trying to group them </w:t>
      </w:r>
    </w:p>
    <w:p w:rsidR="004B5C5B" w:rsidP="004B5C5B" w:rsidRDefault="004B5C5B" w14:paraId="71A16186" w14:textId="76448520">
      <w:pPr>
        <w:pStyle w:val="ListParagraph"/>
        <w:numPr>
          <w:ilvl w:val="1"/>
          <w:numId w:val="3"/>
        </w:numPr>
        <w:spacing w:after="120" w:line="240" w:lineRule="auto"/>
      </w:pPr>
      <w:r>
        <w:t>Going to be postponed for now, Dr. Palmer is going to continue looking through these models throughout the next month</w:t>
      </w:r>
    </w:p>
    <w:p w:rsidR="3C233114" w:rsidP="3C233114" w:rsidRDefault="0FA7C366" w14:paraId="060749F9" w14:textId="6790D4F1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Surveys</w:t>
      </w:r>
      <w:r w:rsidR="004B5C5B">
        <w:rPr>
          <w:rFonts w:eastAsiaTheme="minorEastAsia"/>
        </w:rPr>
        <w:t xml:space="preserve"> – the purpose is to figure out what the textbook affordability problem is, how we’re going to structure the surveys, what questions would </w:t>
      </w:r>
      <w:r w:rsidR="00B22F88">
        <w:rPr>
          <w:rFonts w:eastAsiaTheme="minorEastAsia"/>
        </w:rPr>
        <w:t>give us the best insight to the textbook affordability problem</w:t>
      </w:r>
    </w:p>
    <w:p w:rsidR="3C233114" w:rsidP="0FA7C366" w:rsidRDefault="0FA7C366" w14:paraId="084FC3E8" w14:textId="054C4878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Faculty</w:t>
      </w:r>
    </w:p>
    <w:p w:rsidRPr="00B22F88" w:rsidR="0FA7C366" w:rsidP="0FA7C366" w:rsidRDefault="0FA7C366" w14:paraId="7E250787" w14:textId="36F10798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Student</w:t>
      </w:r>
      <w:r w:rsidR="00B22F88">
        <w:rPr>
          <w:rFonts w:eastAsiaTheme="minorEastAsia"/>
        </w:rPr>
        <w:t xml:space="preserve"> – we decided that we should first focus on the student survey</w:t>
      </w:r>
    </w:p>
    <w:p w:rsidR="00B22F88" w:rsidP="00B22F88" w:rsidRDefault="00B22F88" w14:paraId="57BD113B" w14:textId="03E99EF3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May be better to use a randomized sample and specify the questions to a certain class – they could have chosen to not buy a book 2 years ago, which could lead our results astray; depends on the class</w:t>
      </w:r>
    </w:p>
    <w:p w:rsidR="70DD1ADC" w:rsidP="70DD1ADC" w:rsidRDefault="70DD1ADC" w14:noSpellErr="1" w14:paraId="4F19D9AD" w14:textId="0ADF56CF">
      <w:pPr>
        <w:pStyle w:val="ListParagraph"/>
        <w:numPr>
          <w:ilvl w:val="1"/>
          <w:numId w:val="3"/>
        </w:numPr>
        <w:spacing w:after="120" w:line="240" w:lineRule="auto"/>
        <w:rPr/>
      </w:pPr>
      <w:r w:rsidR="70DD1ADC">
        <w:rPr/>
        <w:t>The committee looked at questions provided by DePaul University Libraries that was distributed to students on their campus. Questions from that survey were used as a model for ours and appear below.</w:t>
      </w:r>
    </w:p>
    <w:p w:rsidRPr="00B22F88" w:rsidR="00B22F88" w:rsidP="00B22F88" w:rsidRDefault="0FA7C366" w14:paraId="1C5936C8" w14:textId="77777777">
      <w:pPr>
        <w:pStyle w:val="ListParagraph"/>
        <w:numPr>
          <w:ilvl w:val="1"/>
          <w:numId w:val="3"/>
        </w:numPr>
        <w:spacing w:after="120" w:line="240" w:lineRule="auto"/>
        <w:rPr/>
      </w:pPr>
      <w:r w:rsidRPr="70DD1ADC" w:rsidR="70DD1ADC">
        <w:rPr>
          <w:rFonts w:eastAsia="" w:eastAsiaTheme="minorEastAsia"/>
        </w:rPr>
        <w:t>What questions to ask</w:t>
      </w:r>
    </w:p>
    <w:p w:rsidR="00B22F88" w:rsidP="00B22F88" w:rsidRDefault="00B22F88" w14:paraId="03D1205E" w14:textId="59CB75A5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This semester, have you decided not to acquire a required textbook or other course material because it was too expensive?</w:t>
      </w:r>
    </w:p>
    <w:p w:rsidR="00B22F88" w:rsidP="00B22F88" w:rsidRDefault="00B22F88" w14:paraId="36F1B74D" w14:textId="6AF1F0C1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Want to know when a student decides to draw the line on buying a textbook because of cost</w:t>
      </w:r>
    </w:p>
    <w:p w:rsidR="00B22F88" w:rsidP="00B22F88" w:rsidRDefault="00F24975" w14:paraId="5EAE0097" w14:textId="72E71836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What factors affected your decision not to acquire a required textbook or other course material this semester? (select all that apply)</w:t>
      </w:r>
    </w:p>
    <w:p w:rsidR="00F24975" w:rsidP="00F24975" w:rsidRDefault="00F24975" w14:paraId="024958DE" w14:textId="6549BC2D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Cost</w:t>
      </w:r>
    </w:p>
    <w:p w:rsidR="00F24975" w:rsidP="00F24975" w:rsidRDefault="00F24975" w14:paraId="58C4FEC9" w14:textId="2698CBB3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I do not learn well from textbooks</w:t>
      </w:r>
    </w:p>
    <w:p w:rsidR="00F24975" w:rsidP="00F24975" w:rsidRDefault="00F24975" w14:paraId="4ECB6413" w14:textId="6999F978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Textbook was not available when I tried to purchase</w:t>
      </w:r>
    </w:p>
    <w:p w:rsidR="00F24975" w:rsidP="00F24975" w:rsidRDefault="00F24975" w14:paraId="530455AC" w14:textId="753DE1D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Did not seem necessary to purchase to be successful in the course</w:t>
      </w:r>
    </w:p>
    <w:p w:rsidR="00F24975" w:rsidP="00F24975" w:rsidRDefault="00F24975" w14:paraId="620D9D91" w14:textId="2710A8D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My friend has a copy</w:t>
      </w:r>
    </w:p>
    <w:p w:rsidR="00F24975" w:rsidP="00F24975" w:rsidRDefault="00F24975" w14:paraId="4529AA60" w14:textId="6AFD79BF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I can get a copy at the library</w:t>
      </w:r>
    </w:p>
    <w:p w:rsidR="00F24975" w:rsidP="00F24975" w:rsidRDefault="00F24975" w14:paraId="19347712" w14:textId="17C0FCAD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 xml:space="preserve">Other (please specify) – </w:t>
      </w:r>
    </w:p>
    <w:p w:rsidR="00F24975" w:rsidP="00F24975" w:rsidRDefault="00F24975" w14:paraId="647A73FC" w14:textId="33EFF876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In this semester (may also change to “in this class” if we do a random sample), has the cost of required textbooks or other course materials caused you to (select all that apply)</w:t>
      </w:r>
    </w:p>
    <w:p w:rsidR="00F24975" w:rsidP="00F24975" w:rsidRDefault="00F24975" w14:paraId="181B843C" w14:textId="0A7650EF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 xml:space="preserve">How much did you spend on textbooks this semester? </w:t>
      </w:r>
    </w:p>
    <w:p w:rsidR="00F24975" w:rsidP="00F24975" w:rsidRDefault="00F24975" w14:paraId="780BA049" w14:textId="49B95B58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Less than $100</w:t>
      </w:r>
    </w:p>
    <w:p w:rsidR="00F24975" w:rsidP="00F24975" w:rsidRDefault="00FC0E6A" w14:paraId="66F228EA" w14:textId="1E1F8207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$101-$300</w:t>
      </w:r>
    </w:p>
    <w:p w:rsidR="00FC0E6A" w:rsidP="00F24975" w:rsidRDefault="00FC0E6A" w14:paraId="32362241" w14:textId="39CC07F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$301-$500</w:t>
      </w:r>
    </w:p>
    <w:p w:rsidR="00FC0E6A" w:rsidP="00F24975" w:rsidRDefault="00FC0E6A" w14:paraId="635A0B6F" w14:textId="0EA623D9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$501-$700</w:t>
      </w:r>
    </w:p>
    <w:p w:rsidR="00FC0E6A" w:rsidP="00F24975" w:rsidRDefault="00FC0E6A" w14:paraId="16B9F6E1" w14:textId="7C9E1D0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More than $700</w:t>
      </w:r>
    </w:p>
    <w:p w:rsidR="00FC0E6A" w:rsidP="00F24975" w:rsidRDefault="00FC0E6A" w14:paraId="58CC49EB" w14:textId="43B26ACC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I’m not sure</w:t>
      </w:r>
    </w:p>
    <w:p w:rsidR="00FC0E6A" w:rsidP="00FC0E6A" w:rsidRDefault="00FC0E6A" w14:paraId="2EB7FAEA" w14:textId="10F098CF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What are the funding sources you used to pay for your textbooks this semester? (select all that apply)</w:t>
      </w:r>
    </w:p>
    <w:p w:rsidR="00FC0E6A" w:rsidP="00FC0E6A" w:rsidRDefault="00FC0E6A" w14:paraId="7923019B" w14:textId="03AEEF64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Credit cards</w:t>
      </w:r>
    </w:p>
    <w:p w:rsidR="00FC0E6A" w:rsidP="00FC0E6A" w:rsidRDefault="00FC0E6A" w14:paraId="69228AE5" w14:textId="6DBA7B31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Grants/scholarships – we are going to ask financial aid what the best terminology would be to use here</w:t>
      </w:r>
    </w:p>
    <w:p w:rsidR="00FC0E6A" w:rsidP="00FC0E6A" w:rsidRDefault="00FC0E6A" w14:paraId="73752C46" w14:textId="2614F193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Loans</w:t>
      </w:r>
    </w:p>
    <w:p w:rsidR="00FC0E6A" w:rsidP="00FC0E6A" w:rsidRDefault="00FC0E6A" w14:paraId="0C84681A" w14:textId="3808450F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Work</w:t>
      </w:r>
    </w:p>
    <w:p w:rsidR="00FC0E6A" w:rsidP="00FC0E6A" w:rsidRDefault="00FC0E6A" w14:paraId="358B4CF8" w14:textId="102E53E0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Family</w:t>
      </w:r>
    </w:p>
    <w:p w:rsidR="00FC0E6A" w:rsidP="00FC0E6A" w:rsidRDefault="00FC0E6A" w14:paraId="5C5482C7" w14:textId="32FFBBB1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I don’t work</w:t>
      </w:r>
    </w:p>
    <w:p w:rsidR="00FC0E6A" w:rsidP="00FC0E6A" w:rsidRDefault="00FC0E6A" w14:paraId="17D04B9F" w14:textId="25B1E9BC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Other (please specify) –</w:t>
      </w:r>
    </w:p>
    <w:p w:rsidR="00190707" w:rsidP="00190707" w:rsidRDefault="00FC0E6A" w14:paraId="3CC80F7A" w14:textId="7F3C2C71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Is there anything else you would like to share with us regarding the cost of textbooks/required course materials and the way in which it impacts your learning?</w:t>
      </w:r>
    </w:p>
    <w:p w:rsidR="0008538B" w:rsidP="0008538B" w:rsidRDefault="0008538B" w14:paraId="4281EA47" w14:textId="66C84E02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Do you identify as (check as many as apply):</w:t>
      </w:r>
    </w:p>
    <w:p w:rsidR="0008538B" w:rsidP="0008538B" w:rsidRDefault="0008538B" w14:paraId="2D6580C4" w14:textId="0F4F2590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African American</w:t>
      </w:r>
    </w:p>
    <w:p w:rsidR="0008538B" w:rsidP="0008538B" w:rsidRDefault="0008538B" w14:paraId="6A60AD06" w14:textId="7B8264DB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American Indian/Alaska Native</w:t>
      </w:r>
    </w:p>
    <w:p w:rsidR="0008538B" w:rsidP="0008538B" w:rsidRDefault="0008538B" w14:paraId="54641307" w14:textId="60BAC494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Asian</w:t>
      </w:r>
    </w:p>
    <w:p w:rsidR="0008538B" w:rsidP="0008538B" w:rsidRDefault="0008538B" w14:paraId="781454C7" w14:textId="704D82E9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Caucasian</w:t>
      </w:r>
    </w:p>
    <w:p w:rsidR="0008538B" w:rsidP="0008538B" w:rsidRDefault="0008538B" w14:paraId="68A40599" w14:textId="567ADCD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Hispanic/Latino</w:t>
      </w:r>
    </w:p>
    <w:p w:rsidR="0008538B" w:rsidP="0008538B" w:rsidRDefault="0008538B" w14:paraId="4276B9AF" w14:textId="38B394D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 xml:space="preserve">Multiracial/Non-Hispanic </w:t>
      </w:r>
    </w:p>
    <w:p w:rsidR="0008538B" w:rsidP="0008538B" w:rsidRDefault="0008538B" w14:paraId="5C6179B5" w14:textId="298B9107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Native Hawaiian/Pacific Islander</w:t>
      </w:r>
    </w:p>
    <w:p w:rsidR="0008538B" w:rsidP="0008538B" w:rsidRDefault="0008538B" w14:paraId="6A477855" w14:textId="21DEA9F1">
      <w:pPr>
        <w:pStyle w:val="ListParagraph"/>
        <w:numPr>
          <w:ilvl w:val="4"/>
          <w:numId w:val="3"/>
        </w:numPr>
        <w:spacing w:after="120" w:line="240" w:lineRule="auto"/>
        <w:rPr/>
      </w:pPr>
      <w:r w:rsidR="70DD1ADC">
        <w:rPr/>
        <w:t>We will use the University’s categories instead of these</w:t>
      </w:r>
    </w:p>
    <w:p w:rsidR="0008538B" w:rsidP="0008538B" w:rsidRDefault="0008538B" w14:paraId="762A3BDE" w14:textId="42F6BB45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What gender are you?</w:t>
      </w:r>
    </w:p>
    <w:p w:rsidR="0008538B" w:rsidP="0008538B" w:rsidRDefault="0008538B" w14:paraId="0E7B2CB9" w14:textId="485AE54A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Female</w:t>
      </w:r>
    </w:p>
    <w:p w:rsidR="0008538B" w:rsidP="0008538B" w:rsidRDefault="0008538B" w14:paraId="621B14C2" w14:textId="14E0D276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Male</w:t>
      </w:r>
    </w:p>
    <w:p w:rsidR="0008538B" w:rsidP="0008538B" w:rsidRDefault="0008538B" w14:paraId="0FF6C898" w14:textId="12385713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Other</w:t>
      </w:r>
    </w:p>
    <w:p w:rsidR="0008538B" w:rsidP="0008538B" w:rsidRDefault="0008538B" w14:paraId="167120A3" w14:textId="11E75864">
      <w:pPr>
        <w:pStyle w:val="ListParagraph"/>
        <w:numPr>
          <w:ilvl w:val="4"/>
          <w:numId w:val="3"/>
        </w:numPr>
        <w:spacing w:after="120" w:line="240" w:lineRule="auto"/>
        <w:rPr/>
      </w:pPr>
      <w:r w:rsidR="70DD1ADC">
        <w:rPr/>
        <w:t>We will also use the University’s categories for this question</w:t>
      </w:r>
    </w:p>
    <w:p w:rsidRPr="0008538B" w:rsidR="0FA7C366" w:rsidP="0FA7C366" w:rsidRDefault="0FA7C366" w14:paraId="646FAA7F" w14:textId="10BD6757">
      <w:pPr>
        <w:pStyle w:val="ListParagraph"/>
        <w:numPr>
          <w:ilvl w:val="1"/>
          <w:numId w:val="3"/>
        </w:numPr>
        <w:spacing w:after="120" w:line="240" w:lineRule="auto"/>
        <w:rPr/>
      </w:pPr>
      <w:r w:rsidRPr="70DD1ADC" w:rsidR="70DD1ADC">
        <w:rPr>
          <w:rFonts w:eastAsia="" w:eastAsiaTheme="minorEastAsia"/>
        </w:rPr>
        <w:t>What distribution method(s) to use</w:t>
      </w:r>
      <w:r w:rsidRPr="70DD1ADC" w:rsidR="70DD1ADC">
        <w:rPr>
          <w:rFonts w:eastAsia="" w:eastAsiaTheme="minorEastAsia"/>
        </w:rPr>
        <w:t xml:space="preserve"> </w:t>
      </w:r>
    </w:p>
    <w:p w:rsidR="0008538B" w:rsidP="0008538B" w:rsidRDefault="0008538B" w14:paraId="4D32211D" w14:textId="72B23FD3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 xml:space="preserve">We would like to include it at the end of course evaluations </w:t>
      </w:r>
      <w:r w:rsidRPr="70DD1ADC" w:rsidR="70DD1ADC">
        <w:rPr>
          <w:u w:val="single"/>
        </w:rPr>
        <w:t>OR</w:t>
      </w:r>
    </w:p>
    <w:p w:rsidR="0008538B" w:rsidP="0008538B" w:rsidRDefault="0008538B" w14:paraId="3B4783F4" w14:textId="468F36F5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Go into the selected classrooms and distribute a paper survey by hand and collect afterwards</w:t>
      </w:r>
    </w:p>
    <w:p w:rsidR="3C233114" w:rsidP="3C233114" w:rsidRDefault="0FA7C366" w14:paraId="0BE50026" w14:textId="70A1A2B3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Programming/Educational Event</w:t>
      </w:r>
    </w:p>
    <w:p w:rsidR="0FA7C366" w:rsidP="0FA7C366" w:rsidRDefault="0FA7C366" w14:paraId="2FC22408" w14:textId="69117FB8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Panel about affordable course materials – library, student, faculty?</w:t>
      </w:r>
    </w:p>
    <w:p w:rsidR="3C233114" w:rsidP="0FA7C366" w:rsidRDefault="0FA7C366" w14:paraId="183C97B6" w14:textId="14FBFE29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During Open Education Week (early March)?</w:t>
      </w:r>
    </w:p>
    <w:p w:rsidR="3C233114" w:rsidP="3C233114" w:rsidRDefault="0FA7C366" w14:paraId="7C38E513" w14:textId="2B8764F0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Other?</w:t>
      </w:r>
    </w:p>
    <w:p w:rsidR="00C63D74" w:rsidP="70DD1ADC" w:rsidRDefault="3C233114" w14:paraId="665E8617" w14:textId="23C077F1">
      <w:pPr>
        <w:pStyle w:val="Normal"/>
        <w:spacing w:after="120" w:line="240" w:lineRule="auto"/>
        <w:rPr>
          <w:rFonts w:eastAsia="" w:eastAsiaTheme="minorEastAsia"/>
          <w:b w:val="1"/>
          <w:bCs w:val="1"/>
        </w:rPr>
      </w:pPr>
      <w:r w:rsidRPr="70DD1ADC" w:rsidR="70DD1ADC">
        <w:rPr>
          <w:rFonts w:eastAsia="" w:eastAsiaTheme="minorEastAsia"/>
          <w:b w:val="1"/>
          <w:bCs w:val="1"/>
        </w:rPr>
        <w:t xml:space="preserve">Announcements/Miscellaneous: Look through the other </w:t>
      </w:r>
      <w:r w:rsidRPr="70DD1ADC" w:rsidR="70DD1ADC">
        <w:rPr>
          <w:rFonts w:eastAsia="" w:eastAsiaTheme="minorEastAsia"/>
          <w:b w:val="1"/>
          <w:bCs w:val="1"/>
        </w:rPr>
        <w:t xml:space="preserve">example </w:t>
      </w:r>
      <w:r w:rsidRPr="70DD1ADC" w:rsidR="70DD1ADC">
        <w:rPr>
          <w:rFonts w:eastAsia="" w:eastAsiaTheme="minorEastAsia"/>
          <w:b w:val="1"/>
          <w:bCs w:val="1"/>
        </w:rPr>
        <w:t>survey before our next meeting, Morgan will bring the old surveys that SGA took a little while back, Financial aid sent out a survey in November about expenses like books, so we could possibly</w:t>
      </w:r>
      <w:r w:rsidRPr="70DD1ADC" w:rsidR="70DD1ADC">
        <w:rPr>
          <w:rFonts w:eastAsia="" w:eastAsiaTheme="minorEastAsia"/>
          <w:b w:val="1"/>
          <w:bCs w:val="1"/>
        </w:rPr>
        <w:t xml:space="preserve"> </w:t>
      </w:r>
      <w:r w:rsidRPr="70DD1ADC" w:rsidR="70DD1ADC">
        <w:rPr>
          <w:rFonts w:eastAsia="" w:eastAsiaTheme="minorEastAsia"/>
          <w:b w:val="1"/>
          <w:bCs w:val="1"/>
        </w:rPr>
        <w:t>ask them for that data</w:t>
      </w:r>
      <w:r w:rsidRPr="70DD1ADC" w:rsidR="70DD1ADC">
        <w:rPr>
          <w:rFonts w:eastAsia="" w:eastAsiaTheme="minorEastAsia"/>
          <w:b w:val="1"/>
          <w:bCs w:val="1"/>
        </w:rPr>
        <w:t>.</w:t>
      </w:r>
    </w:p>
    <w:p w:rsidRPr="00C63D74" w:rsidR="00C63D74" w:rsidP="3C233114" w:rsidRDefault="00C63D74" w14:paraId="234A973C" w14:textId="77777777">
      <w:pPr>
        <w:spacing w:after="120" w:line="240" w:lineRule="auto"/>
        <w:rPr>
          <w:rFonts w:eastAsiaTheme="minorEastAsia"/>
          <w:b/>
          <w:bCs/>
        </w:rPr>
      </w:pPr>
    </w:p>
    <w:p w:rsidR="3C233114" w:rsidP="3C233114" w:rsidRDefault="3C233114" w14:paraId="4547A1DC" w14:textId="115D6999">
      <w:pPr>
        <w:spacing w:after="120" w:line="240" w:lineRule="auto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Adjournment:</w:t>
      </w:r>
      <w:r w:rsidR="00C63D74">
        <w:rPr>
          <w:rFonts w:eastAsiaTheme="minorEastAsia"/>
          <w:b/>
          <w:bCs/>
        </w:rPr>
        <w:t xml:space="preserve"> at 1:58 pm</w:t>
      </w:r>
    </w:p>
    <w:p w:rsidR="00C63D74" w:rsidP="3C233114" w:rsidRDefault="00C63D74" w14:paraId="47A8CF46" w14:textId="2E32261D">
      <w:pPr>
        <w:spacing w:after="120" w:line="240" w:lineRule="auto"/>
        <w:rPr>
          <w:rFonts w:eastAsiaTheme="minorEastAsia"/>
        </w:rPr>
      </w:pPr>
    </w:p>
    <w:p w:rsidR="00C63D74" w:rsidP="3C233114" w:rsidRDefault="00C63D74" w14:paraId="54ECF74F" w14:textId="0588AB7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We missed you today, Anne! Feel better soon. </w:t>
      </w:r>
      <w:r w:rsidRPr="00C63D74">
        <w:rPr>
          <mc:AlternateContent>
            <mc:Choice Requires="w16se">
              <w:rFonts w:eastAsiaTheme="minorEastAsia"/>
            </mc:Choice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Theme="minorEastAsia"/>
        </w:rPr>
        <w:t xml:space="preserve"> </w:t>
      </w:r>
    </w:p>
    <w:p w:rsidR="00C63D74" w:rsidP="3C233114" w:rsidRDefault="00C63D74" w14:paraId="1B1921CB" w14:textId="77777777">
      <w:pPr>
        <w:spacing w:after="120" w:line="240" w:lineRule="auto"/>
        <w:rPr>
          <w:rFonts w:eastAsiaTheme="minorEastAsia"/>
        </w:rPr>
      </w:pPr>
    </w:p>
    <w:p w:rsidR="00C63D74" w:rsidP="3C233114" w:rsidRDefault="00C63D74" w14:paraId="48FDE2B5" w14:textId="1CA3208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Respectfully submitted,</w:t>
      </w:r>
    </w:p>
    <w:p w:rsidR="00C63D74" w:rsidP="3C233114" w:rsidRDefault="00C63D74" w14:paraId="392461AB" w14:textId="6A5E6214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Morgan Anderson</w:t>
      </w:r>
    </w:p>
    <w:sectPr w:rsidR="00C63D7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 w:tplc="B2EECA90">
      <w:start w:val="1"/>
      <w:numFmt w:val="decimal"/>
      <w:lvlText w:val="%4."/>
      <w:lvlJc w:val="left"/>
      <w:pPr>
        <w:ind w:left="2880" w:hanging="360"/>
      </w:pPr>
    </w:lvl>
    <w:lvl w:ilvl="4" w:tplc="804C6636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90707"/>
    <w:rsid w:val="003C15AE"/>
    <w:rsid w:val="004B5C5B"/>
    <w:rsid w:val="00510315"/>
    <w:rsid w:val="005A43D5"/>
    <w:rsid w:val="007C6DEB"/>
    <w:rsid w:val="00B22F88"/>
    <w:rsid w:val="00C13B80"/>
    <w:rsid w:val="00C63D74"/>
    <w:rsid w:val="00D878EB"/>
    <w:rsid w:val="00F24975"/>
    <w:rsid w:val="00F50C57"/>
    <w:rsid w:val="00FC0E6A"/>
    <w:rsid w:val="0FA7C366"/>
    <w:rsid w:val="3C233114"/>
    <w:rsid w:val="5227C630"/>
    <w:rsid w:val="70D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learningsurvey.com/reports/freeingthetextbook2018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48E41-D593-4179-B816-62D5068B1E18}"/>
</file>

<file path=customXml/itemProps2.xml><?xml version="1.0" encoding="utf-8"?>
<ds:datastoreItem xmlns:ds="http://schemas.openxmlformats.org/officeDocument/2006/customXml" ds:itemID="{DDDB1A65-27EA-4314-B983-A684C411E79B}"/>
</file>

<file path=customXml/itemProps3.xml><?xml version="1.0" encoding="utf-8"?>
<ds:datastoreItem xmlns:ds="http://schemas.openxmlformats.org/officeDocument/2006/customXml" ds:itemID="{D191D34B-66D7-4314-9641-DCE1F61961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3</cp:revision>
  <dcterms:created xsi:type="dcterms:W3CDTF">2019-02-26T14:45:00Z</dcterms:created>
  <dcterms:modified xsi:type="dcterms:W3CDTF">2019-02-28T19:06:18Z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